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900" w:lineRule="atLeast"/>
        <w:jc w:val="center"/>
      </w:pPr>
      <w:bookmarkStart w:id="0" w:name="_GoBack"/>
      <w:r>
        <w:rPr>
          <w:rFonts w:ascii="宋体" w:hAnsi="宋体" w:eastAsia="宋体" w:cs="宋体"/>
          <w:b/>
          <w:bCs/>
          <w:color w:val="333333"/>
          <w:kern w:val="0"/>
          <w:sz w:val="36"/>
          <w:szCs w:val="36"/>
          <w:lang w:val="en-US" w:eastAsia="zh-CN" w:bidi="ar"/>
        </w:rPr>
        <w:t>水运工程建设项目招标投标管理办法</w:t>
      </w:r>
    </w:p>
    <w:bookmarkEnd w:id="0"/>
    <w:p>
      <w:pPr>
        <w:keepNext w:val="0"/>
        <w:keepLines w:val="0"/>
        <w:widowControl/>
        <w:suppressLineNumbers w:val="0"/>
        <w:spacing w:line="240" w:lineRule="atLeast"/>
        <w:jc w:val="center"/>
        <w:rPr>
          <w:sz w:val="19"/>
          <w:szCs w:val="19"/>
        </w:rPr>
      </w:pPr>
      <w:r>
        <w:rPr>
          <w:rFonts w:ascii="微软雅黑" w:hAnsi="微软雅黑" w:eastAsia="微软雅黑" w:cs="微软雅黑"/>
          <w:b/>
          <w:bCs/>
          <w:color w:val="333333"/>
          <w:kern w:val="0"/>
          <w:sz w:val="19"/>
          <w:szCs w:val="19"/>
          <w:u w:val="none"/>
          <w:bdr w:val="none" w:color="auto" w:sz="0" w:space="0"/>
          <w:lang w:val="en-US" w:eastAsia="zh-CN" w:bidi="ar"/>
        </w:rPr>
        <w:fldChar w:fldCharType="begin"/>
      </w:r>
      <w:r>
        <w:rPr>
          <w:rFonts w:ascii="微软雅黑" w:hAnsi="微软雅黑" w:eastAsia="微软雅黑" w:cs="微软雅黑"/>
          <w:b/>
          <w:bCs/>
          <w:color w:val="333333"/>
          <w:kern w:val="0"/>
          <w:sz w:val="19"/>
          <w:szCs w:val="19"/>
          <w:u w:val="none"/>
          <w:bdr w:val="none" w:color="auto" w:sz="0" w:space="0"/>
          <w:lang w:val="en-US" w:eastAsia="zh-CN" w:bidi="ar"/>
        </w:rPr>
        <w:instrText xml:space="preserve"> HYPERLINK "http://www.bshare.cn/share" \o "分享到" </w:instrText>
      </w:r>
      <w:r>
        <w:rPr>
          <w:rFonts w:ascii="微软雅黑" w:hAnsi="微软雅黑" w:eastAsia="微软雅黑" w:cs="微软雅黑"/>
          <w:b/>
          <w:bCs/>
          <w:color w:val="333333"/>
          <w:kern w:val="0"/>
          <w:sz w:val="19"/>
          <w:szCs w:val="19"/>
          <w:u w:val="none"/>
          <w:bdr w:val="none" w:color="auto" w:sz="0" w:space="0"/>
          <w:lang w:val="en-US" w:eastAsia="zh-CN" w:bidi="ar"/>
        </w:rPr>
        <w:fldChar w:fldCharType="separate"/>
      </w:r>
      <w:r>
        <w:rPr>
          <w:rStyle w:val="6"/>
          <w:rFonts w:hint="eastAsia" w:ascii="微软雅黑" w:hAnsi="微软雅黑" w:eastAsia="微软雅黑" w:cs="微软雅黑"/>
          <w:b/>
          <w:bCs/>
          <w:color w:val="333333"/>
          <w:sz w:val="19"/>
          <w:szCs w:val="19"/>
          <w:u w:val="none"/>
          <w:bdr w:val="none" w:color="auto" w:sz="0" w:space="0"/>
        </w:rPr>
        <w:t>分享到:</w:t>
      </w:r>
      <w:r>
        <w:rPr>
          <w:rFonts w:hint="eastAsia" w:ascii="微软雅黑" w:hAnsi="微软雅黑" w:eastAsia="微软雅黑" w:cs="微软雅黑"/>
          <w:b/>
          <w:bCs/>
          <w:color w:val="333333"/>
          <w:kern w:val="0"/>
          <w:sz w:val="19"/>
          <w:szCs w:val="19"/>
          <w:u w:val="none"/>
          <w:bdr w:val="none" w:color="auto" w:sz="0" w:space="0"/>
          <w:lang w:val="en-US" w:eastAsia="zh-CN" w:bidi="ar"/>
        </w:rPr>
        <w:fldChar w:fldCharType="end"/>
      </w:r>
      <w:r>
        <w:rPr>
          <w:rFonts w:ascii="宋体" w:hAnsi="宋体" w:eastAsia="宋体" w:cs="宋体"/>
          <w:kern w:val="0"/>
          <w:sz w:val="19"/>
          <w:szCs w:val="19"/>
          <w:lang w:val="en-US" w:eastAsia="zh-CN" w:bidi="ar"/>
        </w:rPr>
        <w:t>     </w:t>
      </w:r>
    </w:p>
    <w:p>
      <w:pPr>
        <w:pStyle w:val="2"/>
        <w:keepNext w:val="0"/>
        <w:keepLines w:val="0"/>
        <w:widowControl/>
        <w:suppressLineNumbers w:val="0"/>
        <w:spacing w:before="90" w:beforeAutospacing="0" w:after="90" w:afterAutospacing="0"/>
        <w:ind w:left="0" w:right="0"/>
        <w:jc w:val="center"/>
        <w:rPr>
          <w:color w:val="333333"/>
          <w:sz w:val="19"/>
          <w:szCs w:val="19"/>
        </w:rPr>
      </w:pPr>
      <w:r>
        <w:rPr>
          <w:color w:val="333333"/>
          <w:sz w:val="19"/>
          <w:szCs w:val="19"/>
        </w:rPr>
        <w:t>【字号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"javascript:doZoom(20)"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大</w:t>
      </w:r>
      <w:r>
        <w:rPr>
          <w:rFonts w:hint="eastAsia" w:ascii="微软雅黑" w:hAnsi="微软雅黑" w:eastAsia="微软雅黑" w:cs="微软雅黑"/>
          <w:color w:val="555555"/>
          <w:sz w:val="19"/>
          <w:szCs w:val="19"/>
          <w:u w:val="none"/>
        </w:rPr>
        <w:fldChar w:fldCharType="end"/>
      </w:r>
      <w:r>
        <w:rPr>
          <w:color w:val="333333"/>
          <w:sz w:val="19"/>
          <w:szCs w:val="19"/>
        </w:rPr>
        <w:t>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"javascript:doZoom(18)"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中</w:t>
      </w:r>
      <w:r>
        <w:rPr>
          <w:rFonts w:hint="eastAsia" w:ascii="微软雅黑" w:hAnsi="微软雅黑" w:eastAsia="微软雅黑" w:cs="微软雅黑"/>
          <w:color w:val="555555"/>
          <w:sz w:val="19"/>
          <w:szCs w:val="19"/>
          <w:u w:val="none"/>
        </w:rPr>
        <w:fldChar w:fldCharType="end"/>
      </w:r>
      <w:r>
        <w:rPr>
          <w:color w:val="333333"/>
          <w:sz w:val="19"/>
          <w:szCs w:val="19"/>
        </w:rPr>
        <w:t>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"javascript:doZoom(16)"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小</w:t>
      </w:r>
      <w:r>
        <w:rPr>
          <w:rFonts w:hint="eastAsia" w:ascii="微软雅黑" w:hAnsi="微软雅黑" w:eastAsia="微软雅黑" w:cs="微软雅黑"/>
          <w:color w:val="555555"/>
          <w:sz w:val="19"/>
          <w:szCs w:val="19"/>
          <w:u w:val="none"/>
        </w:rPr>
        <w:fldChar w:fldCharType="end"/>
      </w:r>
      <w:r>
        <w:rPr>
          <w:color w:val="333333"/>
          <w:sz w:val="19"/>
          <w:szCs w:val="19"/>
        </w:rPr>
        <w:t>】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"http://law.mot.gov.cn/exportPDFLaw.action?law.id=3162"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导出PDF</w:t>
      </w:r>
      <w:r>
        <w:rPr>
          <w:rFonts w:hint="eastAsia" w:ascii="微软雅黑" w:hAnsi="微软雅黑" w:eastAsia="微软雅黑" w:cs="微软雅黑"/>
          <w:color w:val="555555"/>
          <w:sz w:val="19"/>
          <w:szCs w:val="19"/>
          <w:u w:val="none"/>
        </w:rPr>
        <w:fldChar w:fldCharType="end"/>
      </w:r>
      <w:r>
        <w:rPr>
          <w:color w:val="333333"/>
          <w:sz w:val="19"/>
          <w:szCs w:val="19"/>
        </w:rPr>
        <w:t>】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"javascript:void(0);"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在线打印</w:t>
      </w:r>
      <w:r>
        <w:rPr>
          <w:rFonts w:hint="eastAsia" w:ascii="微软雅黑" w:hAnsi="微软雅黑" w:eastAsia="微软雅黑" w:cs="微软雅黑"/>
          <w:color w:val="555555"/>
          <w:sz w:val="19"/>
          <w:szCs w:val="19"/>
          <w:u w:val="none"/>
        </w:rPr>
        <w:fldChar w:fldCharType="end"/>
      </w:r>
      <w:r>
        <w:rPr>
          <w:color w:val="333333"/>
          <w:sz w:val="19"/>
          <w:szCs w:val="19"/>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single" w:color="DDDDDD" w:sz="6" w:space="7"/>
          <w:right w:val="none" w:color="auto" w:sz="0" w:space="0"/>
        </w:pBdr>
        <w:jc w:val="left"/>
        <w:rPr>
          <w:sz w:val="25"/>
          <w:szCs w:val="25"/>
        </w:rPr>
      </w:pPr>
      <w:r>
        <w:rPr>
          <w:rFonts w:ascii="宋体" w:hAnsi="宋体" w:eastAsia="宋体" w:cs="宋体"/>
          <w:color w:val="888888"/>
          <w:kern w:val="0"/>
          <w:sz w:val="25"/>
          <w:szCs w:val="25"/>
          <w:bdr w:val="none" w:color="auto" w:sz="0" w:space="0"/>
          <w:lang w:val="en-US" w:eastAsia="zh-CN" w:bidi="ar"/>
        </w:rPr>
        <w:t>　　《交通运输部关于修改&lt;水运工程建设项目招标投标管理办法&gt;的决定》已于2021年6月23日经第15次部务会议通过，现予公布，自公布之日起施行。</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color w:val="888888"/>
          <w:sz w:val="25"/>
          <w:szCs w:val="25"/>
        </w:rPr>
        <w:t>部长　李小鹏</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color w:val="888888"/>
          <w:sz w:val="25"/>
          <w:szCs w:val="25"/>
        </w:rPr>
        <w:t>2021年8月11日</w:t>
      </w:r>
    </w:p>
    <w:p>
      <w:pPr>
        <w:keepNext w:val="0"/>
        <w:keepLines w:val="0"/>
        <w:widowControl/>
        <w:suppressLineNumbers w:val="0"/>
        <w:jc w:val="left"/>
      </w:pP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交通运输部关于修改《水运工程建设项目招标投标管理办法》的决定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交通运输部决定对《水运工程建设项目招标投标管理办法》（交通运输部令2012年第11号）作如下修改：</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一、删去第六十七条中的“可处二万元以下罚款”。</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二、删去第六十八条中的“可处五千元以下罚款”。</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本决定自公布之日起施行。</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《水运工程建设项目招标投标管理办法》根据本决定作相应修正，重新发布。</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水运工程建设项目招标投标管理办法</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（2012年12月20日交通运输部发布 根据2021年8月  11日交通运输部《关于修改〈水运工程建设项目招标投标管理办法〉的决定》修正）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第一章　总   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第一条　为了规范水运工程建设项目招标投标活动，保护招标投标活动当事人的合法权益，保证水运工程建设项目的质量，根据《中华人民共和国招标投标法》《中华人民共和国招标投标法实施条例》等法律法规，制定本办法。</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第二条　在中华人民共和国境内依法必须进行的水运工程建设项目招标投标活动适用本办法。</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水运工程建设项目是指水运工程以及与水运工程建设有关的货物、服务。</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前款所称水运工程包括港口工程、航道整治、航道疏浚、航运枢纽、过船建筑物、修造船水工建筑物等及其附属建筑物和设施的新建、改建、扩建及其相关的装修、拆除、修缮等工程；货物是指构成水运工程不可分割的组成部分，且为实现工程基本功能所必需的设备、材料等；服务是指为完成水运工程所需的勘察、设计、监理等服务。</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第三条　水运工程建设项目招标投标活动，应遵循公开、公平、公正和诚实信用的原则。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第四条　水运工程建设项目招标投标活动不受地区或者部门的限制。</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任何单位和个人不得以任何方式非法干涉招标投标活动，不得将依法必须进行招标的项目化整为零或者以其他任何方式规避招标。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第五条　水运工程建设项目招标投标工作实行统一领导、分级管理。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交通运输部主管全国水运工程建设项目招标投标活动，并具体负责经国家发展和改革委员会等部门审批、核准和经交通运输部审批的水运工程建设项目招标投标活动的监督管理工作。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省级交通运输主管部门主管本行政区域内的水运工程建设项目招标投标活动，并具体负责省级人民政府有关部门审批、核准的水运工程建设项目招标投标活动的监督管理工作。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省级以下交通运输主管部门按照各自职责对水运工程建设项目招标投标活动实施监督管理。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第六条　水运工程建设项目应当按照国家有关规定，进入项目所在地设区的市级以上人民政府设立的公共资源交易场所或者授权的其他招标投标交易场所开展招标投标活动。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鼓励利用依法建立的招标投标网络服务平台及现代信息技术进行水运工程建设项目电子招标投标。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第二章　招   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第七条　水运工程建设项目招标的具体范围及规模标准执行国务院的有关规定。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鼓励水运工程建设项目的招标代理机构、专项科学试验研究项目、监测等承担单位的选取采用招标或者竞争性谈判等其他竞争性方式确定。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第八条　水运工程建设项目招标人是指提出招标项目并进行招标的水运工程建设项目法人。</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第九条　按照国家有关规定需要履行项目立项审批、核准手续的水运工程建设项目，在取得批准后方可开展勘察、设计招标。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水运工程建设项目通过初步设计审批后，方可开展监理、施工、设备、材料等招标。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第十条　水运工程建设项目招标分为公开招标和邀请招标。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按照国家有关规定需要履行项目立项审批、核准手续的水运工程建设项目，招标人应当按照项目审批、核准时确定的招标范围、招标方式、招标组织形式开展招标；没有确定招标范围、招标方式、招标组织形式的，依据国家有关规定确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不需要履行项目立项审批、核准手续的水运工程建设项目，其招标范围、招标方式、招标组织形式，依据国家有关规定确定。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第十一条　招标人应当合理划分标段、确定工期，并在招标文件中载明。不得利用划分标段规避招标、虚假招标、限制或者排斥潜在投标人。</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第十二条　国有资金占控股或者主导地位的水运工程建设项目,应当公开招标。但有下列情形之一的，可以进行邀请招标：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（一）技术复杂、有特殊要求或者受自然环境限制，只有少量潜在投标人可供选择；</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（二）采用公开招标方式的费用占项目合同金额的比例过大。</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本条所规定的水运工程建设项目，需要按照国家有关规定履行项目审批、核准手续的，由项目审批、核准部门对该项目是否具有前款第（二）项所列情形予以认定；其他项目由招标人向对项目负有监管职责的交通运输主管部门申请作出认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第十三条　有下列情形之一的水运工程建设项目，可以不进行招标：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（一）涉及国家安全、国家秘密、抢险救灾或者属于利用扶贫资金实行以工代赈、需要使用农民工等特殊情况，不适宜进行招标的；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（二）需要采用不可替代的专利或者专有技术的；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（三）采购人自身具有工程建设、货物生产或者服务提供的资格和能力，且符合法定要求的；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（四）已通过招标方式选定的特许经营项目投资人依法能够自行建设、生产或者提供的；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（五）需要向原中标人采购工程、货物或者服务，否则将影响施工或者功能配套要求的；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（六）国家规定的其他特殊情形。</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招标人为适用前款规定弄虚作假的，属于招标投标法第四条规定的规避招标。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第十四条　水运工程建设项目设计招标可采用设计方案招标或设计组织招标。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第十五条　招标人可以依法对工程以及与工程建设有关的货物、服务全部或者部分实行总承包招标。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以暂估价形式包括在总承包范围内的工程、货物、服务，属于依法必须进行招标的项目范围且达到国家规定规模标准的，应当依法进行招标,其招标实施主体应当在总承包合同中约定，并统一由总承包发包的招标人按照第十八条的规定履行招标及备案手续。</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前款所称暂估价，是指总承包招标时不能确定价格而由招标人在招标文件中暂时估定的工程、货物、服务的金额。</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第十六条　招标人自行办理招标事宜的，应当具备下列条件：</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（一）招标人应当是该水运工程建设项目的项目法人；</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（二）具有与招标项目规模和复杂程度相适应的水运工程建设项目技术、经济等方面的专业人员；</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（三）具有能够承担编制招标文件和组织评标的组织机构或者专职业务人员；</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（四）熟悉和掌握招标投标的程序及相关法规。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招标人自行办理招标事宜的，应当向具有监督管理职责的交通运输主管部门备案。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招标人不具备本条前款规定条件的，应当委托招标代理机构办理水运工程建设项目招标事宜。任何单位和个人不得为招标人指定招标代理机构。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第十七条　招标人采用招标或其他竞争性方式选择招标代理机构的，应当从业绩、信誉、从业人员素质、服务方案等方面进行考查。招标人与招标代理机构应当签订书面委托合同。合同约定的收费标准应当符合国家有关规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招标代理机构在其资格许可和招标人委托的范围内开展招标代理业务，不受任何单位、个人的非法干预或者限制。</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第十八条　水运工程建设项目采用资格预审方式公开招标的，招标人应当按下列程序开展招标投标活动：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（一）编制资格预审文件和招标文件，报交通运输主管部门备案；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（二）发布资格预审公告并发售资格预审文件；</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（三）对提出投标申请的潜在投标人进行资格预审，资格审查结果报交通运输主管部门备案；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国有资金占控股或者主导地位的依法必须进行招标的水运工程建设项目，招标人应当组建资格审查委员会审查资格预审申请文件；</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（四）向通过资格预审的潜在投标人发出投标邀请书；向未通过资格预审的潜在投标人发出资格预审结果通知书；</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（五）发售招标文件；</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（六）需要时组织潜在投标人踏勘现场，并进行答疑；</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（七）接收投标人的投标文件，公开开标；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（八）组建评标委员会评标，推荐中标候选人；</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（九）公示中标候选人，确定中标人；</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（十）编制招标投标情况书面报告报交通运输主管部门备案；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（十一）发出中标通知书；</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（十二）与中标人签订合同。</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第十九条　水运工程建设项目采用资格后审方式公开招标的，应当参照第十八条规定的程序进行，并应当在开标后由评标委员会按照招标文件规定的标准和方法对投标人的资格进行审查。</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第二十条　水运工程建设项目实行邀请招标的，招标文件应当报有监督管理权限的交通运输主管部门备案。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第二十一条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依法必须进行招标的水运工程建设项目的资格预审文件和招标文件的编制，应当使用国务院发展改革部门会同有关行政监督部门制定的标准文本以及交通运输部发布的行业标准文本。</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招标人在制定资格审查条件、评标标准和方法时，应利用水运工程建设市场信用信息成果以及招标投标违法行为记录公告平台发布的信息，对潜在投标人或投标人进行综合评价。</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第二十二条　资格预审公告和招标公告除按照规定在指定的媒体发布外，招标人可以同时在交通运输行业主流媒体或者建设等相关单位的门户网站发布。</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资格预审公告和招标公告的发布应当充分公开，任何单位和个人不得非法干涉、限制发布地点、发布范围或发布方式。</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在网络上发布的资格预审公告和招标公告，至少应当持续到资格预审文件和招标文件发售截止时间为止。</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第二十三条　招标人应当按资格预审公告、招标公告或者投标邀请书规定的时间、地点发售资格预审文件或者招标文件。资格预审文件或者招标文件的发售期不得少于5日。资格预审文件或者招标文件售出后，不予退还。</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第二十四条　自资格预审文件停止发售之日起至提交资格预审申请文件截止之日止，不得少于5日。</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对资格预审文件的澄清或修改可能影响资格预审申请文件编制的，应当在提交资格预审申请文件截止时间至少3日前以书面形式通知所有获取资格预审文件的潜在投标人。不足3日的，招标人应当顺延提交资格预审申请文件的截止时间。</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依法必须招标的项目在资格预审文件停止发售之日止，获取资格预审文件的潜在投标人少于3个的，应当重新招标。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第二十五条　潜在投标人或者其他利害关系人对资格预审文件有异议的，应当在提交资格预审申请文件截止时间2日前提出。招标人应当自收到异议之日起3日内作出答复；作出答复前，应当暂停招标投标活动。对异议作出的答复如果实质性影响资格预审申请文件的编制，则相应顺延提交资格预审申请文件的截止时间。</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第二十六条　资格预审审查方法分为合格制和有限数量制。一般情况下应当采用合格制，凡符合资格预审文件规定资格条件的资格预审申请人，均通过资格预审。潜在投标人过多的，可采用有限数量制，但该数额不得少于7个；符合资格条件的申请人不足该数额的，均视为通过资格预审。</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通过资格预审的申请人少于3个的，应当重新招标。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资格预审应当按照资格预审文件载明的标准和方法进行。资格预审文件未载明的标准和方法，不得作为资格审查的依据。</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第二十七条　自招标文件开始发售之日起至潜在投标人提交投标文件截止之日止，最短不得少于20日。</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对招标文件的澄清或修改可能影响投标文件编制的，应当在提交投标文件截止时间至少15日前，以书面形式通知所有获取招标文件的潜在投标人；不足15日的，招标人应当顺延提交投标文件的截止时间。</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获取招标文件的潜在投标人少于3个的，应当重新招标。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第二十八条　潜在投标人或者其他利害关系人对招标文件有异议的，应当在提交投标文件截止时间10日前提出；招标人应当自收到异议之日起3日内作出答复；作出答复前，应当暂停招标投标活动。对异议作出的答复如果实质性影响投标文件的编制，则相应顺延提交投标文件截止时间。</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第二十九条　招标人应当在招标文件中载明投标有效期。投标有效期从提交投标文件的截止之日起算。</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第三十条　招标人在招标文件中要求投标人提交投标保证金的，投标保证金不得超过招标项目估算价的2%，投标保证金有效期应当与投标有效期一致。</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投标保证金的额度和支付形式应当在招标文件中确定。境内投标单位如果采用现金或者支票形式提交投标保证金的，应当从投标人的基本账户转出。</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投标保证金不得挪用。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第三十一条　招标人可以自行决定是否编制标底。一个招标项目只能有一个标底。开标前标底必须保密。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接受委托编制标底的中介机构不得参加受托编制标底项目的投标，也不得为该项目的投标人编制投标文件或者提供咨询等相关的服务。</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招标人设有最高投标限价的，应当在招标文件中明确最高投标限价或者最高投标限价的计算方法。招标人不得规定最低投标限价。</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第三十二条　招标人组织踏勘项目现场的，应通知所有潜在投标人参与，不得组织单个或者部分潜在投标人踏勘项目现场。潜在投标人因自身原因不参与踏勘现场的，不得提出异议。</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第三十三条　招标人在发布资格预审公告、招标公告、发出投标邀请书或者售出资格预审文件、招标文件后，无正当理由不得随意终止招标。招标人因特殊原因需要终止招标的，应当及时发布公告，或者以书面形式通知被邀请的或者已经获取资格预审文件、招标文件的潜在投标人。已经发售资格预审文件、招标文件或者已经收取投标保证金的，招标人应当及时退还所收取的购买资格预审文件、招标文件的费用，以及所收取的投标保证金及银行同期存款利息。利息的计算方法应当在招标文件中载明。</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第三十四条　招标人不得以不合理的条件限制、排斥潜在投标人或者投标人。招标人有下列行为之一的，属于以不合理条件限制、排斥潜在投标人或者投标人：</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（一）就同一招标项目向潜在投标人或者投标人提供有差别的项目信息；</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（二）设定的资格、技术、商务条件与招标项目的具体特点和实际需要不相适应或者与合同履行无关；</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（三）依法必须进行招标的项目以特定行政区域或者特定行业的业绩、奖项作为加分条件或者中标条件；</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（四）对潜在投标人或者投标人采取不同的资格审查或者评标标准；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（五）限定或者指定特定的专利、商标、品牌、原产地或者供应商；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（六）依法必须进行招标的项目非法限定潜在投标人或者投标人的所有制形式或者组织形式；</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（七）以其他不合理条件限制、排斥潜在投标人或者投标人。</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第三章　投   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第三十五条　与招标人存在利害关系可能影响招标公正性的法人、其他组织或者个人，不得参加投标。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单位负责人为同一人或者存在控股、管理关系的不同单位，不得参加同一标段投标或者未划分标段的同一招标项目投标。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施工投标人与本标段的设计人、监理人、代建人或招标代理机构不得为同一个法定代表人、存在相互控股或参股或法定代表人相互任职、工作。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违反上述规定的，相关投标均无效。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第三十六条　投标人可以按照招标文件的要求由两个以上法人或者其他组织组成一个联合体，以一个投标人的身份共同投标。国家有关规定或者招标文件对投标人资格条件有规定的，联合体各方均应当具备规定的相应资格条件，资格条件考核以联合体协议书中约定的分工为依据。由同一专业的单位组成的联合体，按照资质等级较低的单位确定资质等级。</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联合体成员间应签订共同投标协议，明确牵头人以及各方的责任、权利和义务，并将协议连同资格预审申请文件、投标文件一并提交招标人。联合体各方签署联合体协议后，不得再以自己名义单独或者参加其他联合体在同一招标项目中投标。联合体中标的，联合体各方应当共同与招标人签订合同，就中标项目向招标人承担连带责任。</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招标人不得强制投标人组成联合体共同投标。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第三十七条　投标人发生合并、分立、破产等重大变化的，应当及时书面告知招标人。投标人不再具备资格预审文件、招标文件规定的资格条件或者投标影响公正性的，其投标无效。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招标人接受联合体投标并进行资格预审的，联合体应当在提交资格预审申请文件前组成。资格预审后联合体增减、更换成员的，其投标无效。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第三十八条　资格预审申请文件或投标文件按要求送达后，在资格预审文件、招标文件规定的截止时间前，招标人应允许潜在投标人或投标人对已提交的资格预审申请文件、投标文件进行撤回或补充、修改。潜在投标人或投标人如需撤回或者补充、修改资格预审申请文件、投标文件，应当以正式函件向招标人提出并做出说明。</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修改资格预审申请文件、投标文件的函件是资格预审申请文件、投标文件的组成部分，其形式要求、密封方式、送达时间，适用本办法有关投标文件的规定。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第三十九条　招标人接收资格预审申请文件和投标文件，应当如实记载送达时间和密封情况，签收保存，不得开启。</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资格预审申请文件、投标文件有下列情形之一的，招标人应当拒收：</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（一）逾期送达的；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（二）未送达指定地点的；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（三）未按资格预审文件、招标文件要求密封的。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招标人拒收资格预审申请文件、投标文件的，应当如实记载送达时间和拒收情况，并将该记录签字存档。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第四十条　投标人在投标截止时间之前撤回已提交投标文件的，招标人应当自收到投标人书面撤回通知之日起5日内退还已收取的投标保证金。</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投标截止后投标人撤销投标文件的，招标人可以不退还投标保证金。</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出现特殊情况需要延长投标有效期的，招标人以书面形式通知所有投标人延长投标有效期。投标人同意延长的，应当延长其投标保证金的有效期，但不得要求或被允许修改其投标文件；投标人拒绝延长的，其投标失效，投标人有权撤销其投标文件，并收回投标保证金。</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第四十一条　禁止投标人相互串通投标、招标人与投标人串通投标、以他人名义投标以及以其他方式弄虚作假的行为，认定标准执行《中华人民共和国招标投标法实施条例》有关规定。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第四章　开标、评标和定标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第四十二条　招标人应当按照招标文件中规定的时间、地点开标。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投标人少于3个的，不得开标，招标人应当重新招标。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第四十三条　开标由招标人或招标代理组织并主持。</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开标应按照招标文件确定的程序进行，开标过程应当场记录，招标人、招标代理机构、投标人、参加开标的公证和监督机构等单位的代表应签字，并存档备查。开标记录应包括投标人名称、投标保证金、投标报价、工期、密封情况以及招标文件确定的其他内容。</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投标人对开标有异议的，应当在开标现场提出，招标人或招标代理应当场作出答复，并制作记录。</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第四十四条　招标人开标时，邀请所有投标人的法定代表人或其委托代理人准时参加。投标人未参加开标的，视为承认开标记录，事后对开标结果提出的任何异议无效。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第四十五条　评标由招标人依法组建的评标委员会负责。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依法必须进行招标的水运工程建设项目，其评标委员会成员由招标人的代表及有关技术、经济等方面的专家组成，人数为五人以上单数，其中技术、经济等方面的专家不得少于成员总数的三分之二。招标人的代表应具有相关专业知识和工程管理经验。</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与投标人有利害关系的人员不得进入评标委员会。任何单位和个人不得以明示、暗示等任何方式指定或者变相指定参加评标委员会的专家成员。行政监督部门的工作人员不得担任本部门负责监督项目的评标委员会成员。</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交通运输部具体负责监督管理的水运工程建设项目，其评标专家从交通运输部水运工程和交通支持系统综合评标专家库中随机抽取确定，其他水运工程建设项目的评标专家从省级交通运输主管部门建立的评标专家库或其他依法组建的综合评标专家库中随机抽取确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评标委员会成员名单在中标结果确定前应当保密。评标结束后，招标人应当按照交通运输主管部门的要求及时对评标专家的能力、履行职责等进行评价。</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第四十六条　招标人设有标底的，应在开标时公布。标底只能作为评标的参考，不得以投标报价是否接近标底作为中标条件，也不得以投标报价超过标底上下浮动范围作为否决投标的条件。</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第四十七条　招标人应当向评标委员会提供评标所必需的信息和数据，并根据项目规模和技术复杂程度等确定合理的评标时间；必要时可向评标委员会说明招标文件有关内容，但不得明示或者暗示其倾向或者排斥特定投标人。</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在评标过程中，评标委员会成员因存在回避事由、健康等原因不能继续评标，或者擅离职守的，应当及时更换。被更换的评标委员会成员已作出的评审结论无效，由更换后的评标专家重新进行评审。已形成评标报告的，应当作相应修改。</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第四十八条　有下列情形之一的，评标委员会应当否决其投标：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（一）投标文件未按招标文件要求盖章并由法定代表人或其书面授权的代理人签字的；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（二）投标联合体没有提交共同投标协议的；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（三）未按照招标文件要求提交投标保证金的；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（四）投标函未按照招标文件规定的格式填写，内容不全或者关键字迹模糊无法辨认的；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（五）投标人不符合国家或者招标文件规定的资格条件的；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（六）投标人名称或者组织结构与资格预审时不一致且未提供有效证明的；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（七）投标人提交两份或者多份内容不同的投标文件，或者在同一份投标文件中对同一招标项目有两个或者多个报价，且未声明哪一个为最终报价的，但按招标文件要求提交备选投标的除外；</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（八）串通投标、以行贿手段谋取中标、以他人名义或者其他弄虚作假方式投标的；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（九）报价明显低于成本或者高于招标文件中设定的最高限价的；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（十）无正当理由不按照评标委员会的要求对投标文件进行澄清或说明的；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（十一）没有对招标文件提出的实质性要求和条件做出响应的；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（十二）招标文件明确规定废标的其他情形。</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第四十九条　投标文件在实质上响应招标文件要求，但存在含义不明确的内容、明显文字或者计算错误，评标委员会不得随意否决投标，评标委员会认为需要投标人做出必要澄清、说明的，应当书面通知该投标人。投标人的澄清、说明应当采用书面形式，并不得超出投标文件的范围或者改变投标文件的实质性内容。</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评标委员会不得暗示或者诱导投标人做出澄清、说明，不得接受投标人主动提出的澄清、说明。</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第五十条　评标委员会经评审，认为所有投标都不符合招标文件要求的，或者否决不合格投标后，因有效投标不足3个使得投标明显缺乏竞争的，可以否决全部投标。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所有投标被否决的，招标人应当依法重新招标。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第五十一条　评标委员会应当遵循公平、公正、科学、择优的原则，按照招标文件规定的标准和方法，对投标文件进行评审和比较。</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招标文件没有规定的评标标准和方法，不得作为评标的依据。</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第五十二条　根据本办法第二十四条、第二十六条、第二十七条、第四十二条、第五十条规定重新进行了资格预审或招标，再次出现了需要重新资格预审或者重新招标的情形之一的，经书面报告交通运输主管部门后，招标人可不再招标，并可通过与已提交资格预审申请文件或投标文件的潜在投标人进行谈判确定中标人，将谈判情况书面报告交通运输主管部门备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第五十三条　中标人的投标应当符合下列条件之一：</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（一）能够最大限度地满足招标文件规定的各项综合评价标准；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（二）能够满足招标文件的实质性要求，并且经评审的投标价格最低，但是投标价格低于成本的除外。</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第五十四条　评标委员会完成评标后，应当向招标人提交书面评标报告并推荐中标候选人。中标候选人应当不超过三个，并标明排序。</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评标报告由评标委员会全体成员签字。对评标结论持有异议的评标委员会成员可以书面方式阐述其不同意见和理由，评标报告应当注明该不同意见。评标委员会成员拒绝在评标报告上签字又不书面说明其不同意见和理由的，视为同意评标结论，评标委员会应当对此做出书面说明并记录。</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第五十五条　评标报告应包括以下内容：</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（一）评标委员会成员名单；</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（二）对投标文件的符合性评审情况；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（三）否决投标情况；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（四）评标标准、评标方法或者评标因素一览表；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（五）经评审的投标价格或者评分比较一览表；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（六）经评审的投标人排序；</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（七）推荐的中标候选人名单与签订合同前需要处理的事宜；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（八）澄清、说明、补正事项纪要。</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第五十六条　依法必须进行招标的项目，招标人应当自收到书面评标报告之日起3日内按照国家有关规定公示中标候选人，公示期不得少于3日。</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投标人或者其他利害关系人对评标结果有异议的，应当在中标候选人公示期间提出。招标人应当自收到异议之日起3日内作出答复；作出答复前，应当暂停招标投标活动。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第五十七条　公示期间没有异议、异议不成立、没有投诉或者投诉处理后没有发现问题的，招标人应当从评标委员会推荐的中标候选人中确定中标人。异议成立或者投诉发现问题的，应当及时更正。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国有资金占控股或者主导地位的水运工程建设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第五十八条　中标人确定后，招标人应当及时向中标人发出中标通知书，并同时将中标结果通知所有未中标的投标人。</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第五十九条　招标人和中标人应当自中标通知书发出之日起30日内，按照招标文件和中标人的投标文件订立书面合同，合同的标的、价款、质量、履行期限等主要条款应当与招标文件和中标人的投标文件的内容一致。招标人和中标人不得再行订立背离合同实质性内容的其他协议。</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招标文件要求中标人提交履约保证金的，中标人应当按照招标文件的要求提交。履约保证金不得超过中标金额的10%。</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招标人最迟应当在书面合同签订后5日内向中标人和未中标的投标人退还投标保证金及银行同期存款利息。</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第六十条　中标候选人的经营、财务状况发生较大变化或者存在违法行为，招标人认为可能影响其履约能力的，应当在发出中标通知书前由原评标委员会按照招标文件规定的标准和方法审查确认。</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第六十一条　招标人应当自确定中标人之日起15日内，向具体负责本项目招标活动监督管理的交通运输主管部门提交招标投标情况的书面报告。</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招标投标情况书面报告主要内容包括：招标项目基本情况、投标人开标签到表、开标记录、监督人员名单、评标标准和方法、评标委员会评分表和汇总表、评标委员会推荐的中标候选人名单、中标人、经评标委员会签字的评标报告、评标结果公示、投诉处理情况等。</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第六十二条　中标人应当按照合同约定履行义务，完成中标项目。中标人不得向他人转让中标项目，也不得将中标项目肢解后分别向他人转让。</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中标人按照合同约定或者经招标人同意，可以将中标项目的部分非主体、非关键性工作分包给他人完成。接受分包的人应当具备相应的资格条件，并不得再次分包。</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中标人应当就分包项目向招标人负责，接受分包的人就分包项目承担连带责任。</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第五章　投诉与处理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第六十三条　投标人或者其他利害关系人认为招标投标活动不符合法律、行政法规规定的，可以自知道或者应当知道之日起10日内向交通运输主管部门投诉。投诉应当有明确的请求和必要的证明材料。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就本办法第二十五条、第二十八条、第四十三条、第五十六条规定事项投诉的，应当先向招标人提出异议，异议答复期间不计算在前款规定的期限内。</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第六十四条　投诉人就同一招标事项向两个以上交通运输主管部门投诉的，由具体承担该项目招标活动监督管理职责的交通运输主管部门负责处理。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交通运输主管部门应当自收到投诉之日起3个工作日内决定是否受理投诉，并自受理投诉之日起30个工作日内作出书面处理决定；需要检验、检测、鉴定、专家评审的，所需时间不计算在内。</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投诉人捏造事实、伪造材料或者以非法手段取得证明材料进行投诉的，交通运输主管部门应当予以驳回。</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第六十五条　交通运输主管部门处理投诉，有权查阅、复制有关文件、资料，调查有关情况，相关单位和人员应当予以配合。必要时，交通运输主管部门责令暂停该项目的招标投标活动。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交通运输主管部门的工作人员对监督检查过程中知悉的国家秘密、商业秘密，应当依法予以保密。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第六章　法律责任</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第六十六条　违反本办法第九条规定，水运工程建设项目未履行相关审批、核准手续开展招标活动的，由交通运输主管部门责令改正，可处三万元以下罚款。</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第六十七条　违反本办法第十六条规定，招标人不具备自行招标条件而自行招标的，由交通运输主管部门责令改正。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第六十八条　违反本办法第二十一条规定，资格预审文件和招标文件的编制，未使用国务院发展改革部门会同有关行政监督部门制定的标准文本或者交通运输部发布的行业标准文本的，由交通运输主管部门责令改正。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第六十九条　交通运输主管部门应当按照《中华人民共和国招标投标法》、《中华人民共和国招标投标法实施条例》等规定，对水运工程建设项目招标投标活动中的违法行为进行处理。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第七十条　交通运输主管部门应当建立健全水运工程建设项目招标投标信用制度，并应当对招标人、招标代理机构、投标人、评标委员会成员等当事人的违法行为及处理情况予以公告。</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第七章　附   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第七十一条　使用国际金融组织或者外国政府贷款、援助资金的项目进行招标，贷款方、资金提供方对招标投标的具体条件和程序有特殊要求的，可以适用其要求，但有损我国社会公共利益的除外。</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第七十二条　水运工程建设项目机电产品国际招标投标活动，依照国家相关规定办理。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第七十三条　交通支持系统建设项目招标投标活动参照本办法执行。</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第七十四条　本办法自2013年2月1日起施行，《水运工程施工招标投标管理办法》（交通部令2000年第4号）、《水运工程施工监理招标投标管理办法》（交通部令2002年第3号）、《水运工程勘察设计招标投标管理办法》（交通部令2003年第4号）、《水运工程机电设备招标投标管理办法》（交通部令2004年第9号）同时废止。</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Y2E4OWVhNTI2YzM2ODkxMTlmMjQ4ZmRlM2FlMDYifQ=="/>
  </w:docVars>
  <w:rsids>
    <w:rsidRoot w:val="00000000"/>
    <w:rsid w:val="1481490C"/>
    <w:rsid w:val="23087EFD"/>
    <w:rsid w:val="3E3D0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5183</Words>
  <Characters>5223</Characters>
  <Lines>0</Lines>
  <Paragraphs>0</Paragraphs>
  <TotalTime>72</TotalTime>
  <ScaleCrop>false</ScaleCrop>
  <LinksUpToDate>false</LinksUpToDate>
  <CharactersWithSpaces>5467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2023-05-08T02:29:07Z</dcterms:created>
  <dc:creator>Lenovo</dc:creator>
  <cp:lastModifiedBy>董威</cp:lastModifiedBy>
  <dcterms:modified xsi:type="dcterms:W3CDTF">2023-05-08T03:41:41Z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424AD878BC674B359FEF1689B19F415B_13</vt:lpwstr>
  </property>
</Properties>
</file>