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900" w:lineRule="atLeast"/>
        <w:ind w:left="0" w:firstLine="0"/>
        <w:jc w:val="center"/>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中华人民共和国水上水下作业和活动通航安全管理规定</w:t>
      </w:r>
    </w:p>
    <w:bookmarkEnd w:id="0"/>
    <w:p>
      <w:pPr>
        <w:keepNext w:val="0"/>
        <w:keepLines w:val="0"/>
        <w:widowControl/>
        <w:suppressLineNumbers w:val="0"/>
        <w:shd w:val="clear" w:fill="FFFFFF"/>
        <w:spacing w:line="240" w:lineRule="atLeast"/>
        <w:ind w:left="0" w:firstLine="0"/>
        <w:jc w:val="center"/>
        <w:rPr>
          <w:rFonts w:hint="eastAsia" w:ascii="微软雅黑" w:hAnsi="微软雅黑" w:eastAsia="微软雅黑" w:cs="微软雅黑"/>
          <w:i w:val="0"/>
          <w:iCs w:val="0"/>
          <w:caps w:val="0"/>
          <w:color w:val="000000"/>
          <w:spacing w:val="0"/>
          <w:sz w:val="19"/>
          <w:szCs w:val="19"/>
        </w:rPr>
      </w:pP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begin"/>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instrText xml:space="preserve"> HYPERLINK "http://www.bshare.cn/share" \o "分享到" </w:instrText>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separate"/>
      </w: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分享到:</w:t>
      </w:r>
      <w:r>
        <w:rPr>
          <w:rFonts w:hint="eastAsia"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p>
    <w:p>
      <w:pPr>
        <w:pStyle w:val="2"/>
        <w:keepNext w:val="0"/>
        <w:keepLines w:val="0"/>
        <w:widowControl/>
        <w:suppressLineNumbers w:val="0"/>
        <w:shd w:val="clear" w:fill="FFFFFF"/>
        <w:spacing w:before="90" w:beforeAutospacing="0" w:after="9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【字号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"javascript:doZoom(20)"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大</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"javascript:doZoom(18)"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中</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"javascript:doZoom(16)"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小</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"http://law.mot.gov.cn/exportPDFLaw.action?law.id=3180"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导出PDF</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"javascript:void(0);"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在线打印</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shd w:val="clear" w:fill="FFFFFF"/>
        <w:ind w:left="0" w:firstLine="0"/>
        <w:jc w:val="lef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888888"/>
          <w:spacing w:val="0"/>
          <w:kern w:val="0"/>
          <w:sz w:val="25"/>
          <w:szCs w:val="25"/>
          <w:bdr w:val="none" w:color="auto" w:sz="0" w:space="0"/>
          <w:shd w:val="clear" w:fill="FFFFFF"/>
          <w:lang w:val="en-US" w:eastAsia="zh-CN" w:bidi="ar"/>
        </w:rPr>
        <w:t>　　《中华人民共和国水上水下作业和活动通航安全管理规定》已于2021年8月25日经第22次部务会议通过，现予公布，自公布之日起施行。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2021年9月1日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中华人民共和国水上水下作业和活动通航安全管理规定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第一章  总   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第一条  为了维护水上交通秩序，保障船舶航行、停泊和作业安全，保护水域环境，依据《中华人民共和国海上交通安全法》《中华人民共和国内河交通安全管理条例》等法律、行政法规，制定本规定。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第二条  公民、法人或者其他组织在中华人民共和国管辖水域从事水上水下作业和活动，适用本规定。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第三条  水上水下作业和活动通航安全管理应当遵循安全第一、预防为主、方便群众、依法管理的原则。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第四条  交通运输部主管全国水上水下作业和活动通航安全管理工作。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交通运输部海事局负责全国水上水下作业和活动通航安全监督管理工作。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交通运输部直属海事管理机构和其他承担水上交通安全管理职责的机构（以下统称海事管理机构），依照各自的职责权限，负责本辖区水上水下作业和活动通航安全监督管理工作。</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第二章  作业和活动许可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第五条  在管辖海域内进行下列施工作业，应当经海事管理机构许可，并核定相应安全作业区：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（一）勘探，港外采掘、爆破；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（二）构筑、维修、拆除水上水下构筑物或者设施；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（三）航道建设、疏浚（航道养护疏浚除外）作业；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（四）打捞沉船沉物。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第六条  在内河通航水域或者岸线上进行下列水上水下作业或者活动，应当经海事管理机构许可，并根据需要核定相应安全作业区：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（一）勘探，港外采掘、爆破；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（二）构筑、设置、维修、拆除水上水下构筑物或者设施；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（三）架设桥梁、索道；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（四）铺设、检修、拆除水上水下电缆或者管道；</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（五）设置系船浮筒、浮趸、缆桩等设施；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（六）航道建设施工、码头前沿水域疏浚；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（七）举行大型群众性活动、体育比赛；</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（八）打捞沉船沉物。</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第七条  在管辖水域内从事需经许可的水上水下作业或者活动，应当符合下列条件：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（一）水上水下作业或者活动的单位、人员、船舶、海上设施或者内河浮动设施符合安全航行、停泊和作业的要求；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（二）已制定水上水下作业或者活动方案；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（三）有符合水上交通安全和防治船舶污染水域环境要求的保障措施、应急预案和责任制度。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第八条  在管辖水域内从事需经许可的水上水下作业或者活动，建设单位、主办单位或者施工单位应当向作业地或者活动地的海事管理机构提出申请并报送下列材料：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（一）申请书；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（二）申请人、经办人相关证明材料；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作业或者活动方案，包括基本概况、进度安排、施工作业图纸、活动方式，可能影响的水域范围，参与的船舶、海上设施或者内河浮动设施及其人员等，法律、行政法规规定需经其他有关部门许可的，还应当包括与作业或者活动有关的许可信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（四）作业或者活动保障措施方案、应急预案和责任制度文本。</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在港口进行可能危及港口安全的采掘、爆破等活动，建设单位、施工单位应当报经港口行政管理部门许可。港口行政管理部门应当将许可情况及时通报海事管理机构。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第九条  建设单位、主办单位或者施工单位应当根据作业或者活动的范围、气象、海况和通航环境等因素，综合分析水上交通安全和船舶污染水域环境的风险，科学合理编制作业或者活动方案、保障措施方案和应急预案。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第十条 水上水下作业或者活动水域涉及两个以上海事管理机构的，许可证的申请应当向其共同的上一级海事管理机构或者共同的上一级海事管理机构指定的海事管理机构提出。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第十一条  海事管理机构应当自受理申请之日起15个工作日内作出许可或者不予许可的决定。准予许可的，应当颁发水上水下作业或者活动许可证。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对通航安全可能构成重大影响的水上水下作业或者活动，海事管理机构应当在许可前组织专家进行技术评审。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第十二条  许可证应当注明允许从事水上水下作业或者活动的单位名称、船名、设施名称、时间、水域、作业或者活动内容、有效期等事项。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第十三条  许可证的有效期由海事管理机构根据作业或者活动的期限及水域环境的特点确定。许可证有效期届满不能结束水上水下作业或者活动的，建设单位、主办单位或者施工单位应当于许可证有效期届满5个工作日前向海事管理机构申请办理延续手续，提交延续申请书和相关说明材料，由海事管理机构在原许可证上签注延续期限后方能继续从事相应作业或者活动。许可证有效期最长不得超过3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第十四条  许可证上注明的船舶、海上设施或者内河浮动设施在水上水下作业或者活动期间发生变更的，建设单位、主办单位或者施工单位应当及时向作出许可决定的海事管理机构申请办理变更手续，提交变更申请书和相关说明材料。在变更手续未办妥前，变更的船舶、海上设施或者内河浮动设施不得从事相应的水上水下作业或者活动。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许可证上注明的从事水上水下作业或者活动的单位、内容、水域发生变更的，建设单位、主办单位或者施工单位应当重新申请许可证。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第十五条  有下列情形之一的，建设单位、主办单位或者施工单位应当及时向原发证的海事管理机构报告，并办理许可证注销手续：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（一）水上水下作业或者活动中止的；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（二）3个月以上未开工的；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（三）提前完工的；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（四）因许可事项变更而重新办理了新的许可证的；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（五）因不可抗力导致许可的水上水下作业或者活动无法实施的。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第三章  作业和活动管理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第十六条  在管辖海域内从事体育、娱乐、演练、试航、科学观测等水上水下活动，应当编制活动方案、安全保障和应急方案，并遵守海上交通安全管理规定；可能影响海上交通安全的，应当提前10个工作日将活动涉及的海域范围报告海事管理机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在内河通航水域进行气象观测、测量、地质调查、大面积清除水面垃圾和可能影响内河通航水域交通安全的其他作业的，应当在作业前将作业方案报海事管理机构备案。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第十七条  从事维护性疏浚、清障等影响通航的航道养护活动，或者确需限制通航的养护作业的，应当提前向海事管理机构通报。</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第十八条  海事管理机构应当根据作业或者活动水域的范围、自然环境、交通状况等因素合理核定安全作业区的范围，并向社会公告。需要改变的，应当由海事管理机构重新核定公告。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水上水下作业或者活动已经海事管理机构核定安全作业区的，船舶、海上设施或者内河浮动设施应当在安全作业区内进行作业或者活动。无关船舶、海上设施或者内河浮动设施不得进入安全作业区。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建设单位、主办单位或者施工单位应当在安全作业区设置相关的安全警示标志、配备必要的安全设施或者警戒船。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第十九条  从事按规定需要发布航行警告、航行通告的水上水下作业或者活动，应当在作业或者活动开始前办妥相关手续。</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第二十条  水上水下作业或者活动的建设单位、主办单位或者施工单位应当加强安全生产管理，落实安全生产主体责任。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第二十一条  建设单位应当根据国家有关法律、法规及规章要求，明确本单位和施工单位安全责任人，督促施工单位加强施工作业期间安全管理，落实水上交通安全的各项要求。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建设单位应当确保水上交通安全设施与主体工程同时设计、同时施工、同时投入生产和使用。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第二十二条  水上水下作业需要招投标的，建设单位应当在招投标前明确参与作业的船舶、海上设施或者内河浮动设施应当具备的安全标准和条件，在工程招投标后督促施工单位落实施工过程中各项安全保障措施，将作业船舶、海上设施或者内河浮动设施及人员和为作业服务的船舶及其人员纳入水上交通安全管理体系，并与其签订安全生产管理协议。</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第二十三条  主办单位、施工单位应当落实安全生产法律法规要求，完善安全生产条件，保障施工作业、活动及其周边水域交通安全。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第二十四条  建设单位、主办单位或者施工单位在水上水下作业或者活动过程中应当遵守以下规定：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（一）按照海事管理机构许可的作业或者活动内容、水域范围和使用核准的船舶、海上设施或者内河浮动设施进行作业或者活动，不得妨碍其他船舶的正常航行；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（二）及时向海事管理机构通报作业或者活动进度及计划，并保持作业或者活动水域良好的通航环境；</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（三）使船舶、海上设施或者内河浮动设施保持在适于安全航行、停泊或者从事有关作业或者活动的状态；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船舶、海上设施或者内河浮动设施应当按照有关规定在明显处昼夜显示规定的号灯号型。在现场作业或者活动的船舶或者警戒船上配备有效的通信设备，作业或者活动期间指派专人警戒，并在指定的频道上守听。</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第二十五条  建设单位、主办单位或者施工单位应当及时清除水上水下作业或者活动过程中产生的碍航物，不得遗留任何有碍航行和作业安全的隐患。在碍航物未清除前，必须设置规定的标志、显示信号，并将碍航物的名称、形状、尺寸、位置和深度准确地报告海事管理机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第二十六条  建设单位应当在工程涉及通航安全的部分完工后或者工程竣工后，将工程有关通航安全的技术参数报海事管理机构备案。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第二十七条  海事管理机构应当建立作业或者活动现场监督检查制度，依法检查建设单位、主办单位和施工单位所属船舶、海上设施或者内河浮动设施、人员水上通航安全作业条件、采取的通航安全保障措施、应急预案、责任制度落实情况。有关单位和人员应当予以配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第四章  法律责任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第二十八条  有下列情形之一的，海事管理机构应当责令建设单位、主办单位或者施工单位立即停止作业或者活动，并采取安全防范措施：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（一）因恶劣自然条件严重影响作业或者活动及通航安全的；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（二）作业或者活动水域内发生水上交通事故或者存在严重危害水上交通安全隐患，危及周围人命、财产安全的。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第二十九条  有下列情形之一的，海事管理机构应当责令改正；拒不改正的，应当责令其停止作业或者活动：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（一）建设单位、主办单位或者施工单位未落实安全生产主体责任的；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（二）未按照规定设置相关的安全警示标志、配备必要的安全设施或者警戒船的；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（三）未经许可擅自更换或者增加作业或者活动船舶、海上设施或者内河浮动设施的；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（四）未按照规定采取通航安全保障措施进行水上水下作业或者活动的；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（五）雇佣不符合安全标准的船舶、海上设施或者内河浮动设施进行水上水下作业或者活动的。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第三十条  违反本规定，隐瞒有关情况或者提供虚假材料，以欺骗或者其他不正当手段取得许可证的，由海事管理机构撤销其水上水下作业或者活动许可，收回其许可证，处5000元以上3万元以下的罚款。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第三十一条  在管辖海域内有下列情形之一的，海事管理机构应当责令改正，对违法船舶、海上设施的所有人、经营人或者管理人处3万元以上30万元以下的罚款，对船长、责任船员处3000元以上3万元以下的罚款，或者暂扣船员适任证书6个月至12个月；情节严重的，吊销船长、责任船员的船员适任证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（一）船舶、海上设施未取得许可证或者使用涂改、非法受让的许可证从事施工作业的；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（二）未按照许可明确的作业方案、保障措施、应急预案和责任制度相关要求开展施工作业的；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（三）超出核定的安全作业区进行施工作业的。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从事可能影响海上交通安全的水上水下活动，未按规定提前报告海事管理机构的，由海事管理机构对违法船舶、海上设施的所有人、经营人或者管理人处1万元以上3万元以下的罚款，对船长、责任船员处2000元以上2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第三十二条  在内河通航水域或者岸线上进行水上水下作业或者活动，有下列情形之一的，海事管理机构应当责令立即停止作业或者活动，责令限期改正，处5000元以上5万元以下的罚款: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（一）未取得许可证擅自进行水上水下作业或者活动的；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（二）使用涂改或者非法受让的许可证进行水上水下作业或者活动的；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（三）未按照本规定报备水上水下作业的；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（四）擅自扩大作业或者活动水域范围的。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第三十三条　有下列情形之一的，海事管理机构应当责令停止作业或者活动，可以处2000元以下的罚款：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（一）未按有关规定申请发布航行警告、航行通告即行实施水上水下作业或者活动的；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（二）水上水下作业或者活动与航行警告、航行通告中公告的内容不符的。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第三十四条  未按照本规定取得许可证，擅自构筑、设置的水上水下构筑物或者设施，船舶不得进行靠泊作业。影响通航环境的，应当责令构筑、设置者限期搬迁或者拆除，搬迁或者拆除的有关费用由构筑、设置者承担。</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第三十五条  违反本规定，建设单位、主办单位或者施工单位在管辖海域内未对有碍航行和作业安全的隐患采取设置标志、显示信号等措施的，海事管理机构应当责令改正，处2万元以上20万元以下的罚款。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建设单位、主办单位或者施工单位在内河通航水域或者岸线水上水下作业或者活动，未按照规定采取设置标志、显示信号等措施的，海事管理机构应当责令改正，处5000元以上5万元以下的罚款。</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第三十六条  海事管理机构工作人员不按法定的条件进行海事行政许可或者不依法履行职责进行监督检查，有滥用职权、徇私舞弊、玩忽职守等行为的，由其所在机构或上级机构依法处理；构成犯罪的，由司法机关依法追究刑事责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第五章  附   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第三十七条  在军港、渔港内从事相关水上水下作业或者活动，按照国家有关规定执行。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第三十八条  本规定自公布之日起施行。2019年1月28日以交通运输部令2019年第2号公布的《中华人民共和国水上水下活动通航安全管理规定》同时废止。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1481490C"/>
    <w:rsid w:val="2308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5176</Words>
  <Characters>5324</Characters>
  <Lines>0</Lines>
  <Paragraphs>0</Paragraphs>
  <TotalTime>71</TotalTime>
  <ScaleCrop>false</ScaleCrop>
  <LinksUpToDate>false</LinksUpToDate>
  <CharactersWithSpaces>5507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2023-05-08T02:29:07Z</dcterms:created>
  <dc:creator>Lenovo</dc:creator>
  <cp:lastModifiedBy>董威</cp:lastModifiedBy>
  <dcterms:modified xsi:type="dcterms:W3CDTF">2023-05-08T03:40:40Z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3D231747353C4B019D015E1343D79324_13</vt:lpwstr>
  </property>
</Properties>
</file>