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附件：</w:t>
      </w: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977"/>
        <w:gridCol w:w="5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47" w:type="dxa"/>
            <w:gridSpan w:val="3"/>
            <w:vAlign w:val="top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sz w:val="36"/>
                <w:szCs w:val="36"/>
              </w:rPr>
            </w:pPr>
            <w:r>
              <w:rPr>
                <w:rFonts w:ascii="华文中宋" w:hAnsi="华文中宋" w:eastAsia="华文中宋"/>
                <w:b/>
                <w:sz w:val="36"/>
                <w:szCs w:val="36"/>
              </w:rPr>
              <w:t>第一批</w:t>
            </w:r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13项</w:t>
            </w:r>
            <w:r>
              <w:rPr>
                <w:rFonts w:ascii="华文中宋" w:hAnsi="华文中宋" w:eastAsia="华文中宋"/>
                <w:b/>
                <w:sz w:val="36"/>
                <w:szCs w:val="36"/>
              </w:rPr>
              <w:t>团体标准</w:t>
            </w:r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目录</w:t>
            </w:r>
          </w:p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305.24-2017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水下平面与高程声学测量技术规程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305.23-2017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水下工程声纳渗漏检测技术规程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202.6-2017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磁吸式船舶近体围油栏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305.21-2017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水下钢结构检测工作指南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305.20-2017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海上平台水下检测操作规程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305.22-2017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水下钢结构交流电磁场裂纹检测规程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305.18-2017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水下钢结构杆件进水检测规程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305.19-2017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水下结构物检测测点选择推荐作法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202.2-2017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助浮打捞用充气式橡胶浮筒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103.15-2017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潜水医学技士适任能力评估要求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103.16-2017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潜水医师适任能力评估要求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103.7-2017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潜水医学技士培训要求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T/CDSA 103.8-2017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30"/>
                <w:szCs w:val="30"/>
              </w:rPr>
              <w:t>潜水医师培训要求</w:t>
            </w:r>
          </w:p>
        </w:tc>
      </w:tr>
    </w:tbl>
    <w:p>
      <w:pPr>
        <w:rPr>
          <w:rFonts w:ascii="华文仿宋" w:hAnsi="华文仿宋" w:eastAsia="华文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6290D"/>
    <w:multiLevelType w:val="multilevel"/>
    <w:tmpl w:val="53B629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C1387"/>
    <w:rsid w:val="687C1387"/>
    <w:rsid w:val="6B6B2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2017-05-09T09:05:00Z</dcterms:created>
  <dc:creator>Administrator</dc:creator>
  <cp:lastModifiedBy>xianyewo</cp:lastModifiedBy>
  <dcterms:modified xsi:type="dcterms:W3CDTF">2017-08-10T01:51:11Z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